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F8" w:rsidRDefault="001B65F8" w:rsidP="001D11E6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PSMT" w:hAnsi="TimesNewRomanPSMT" w:cs="TimesNewRomanPSMT"/>
          <w:sz w:val="24"/>
          <w:szCs w:val="24"/>
          <w:lang w:eastAsia="pt-PT"/>
        </w:rPr>
      </w:pPr>
      <w:r w:rsidRPr="003F6162">
        <w:rPr>
          <w:rFonts w:ascii="TimesNewRomanPSMT" w:hAnsi="TimesNewRomanPSMT" w:cs="TimesNewRomanPSMT"/>
          <w:sz w:val="24"/>
          <w:szCs w:val="24"/>
          <w:lang w:eastAsia="pt-PT"/>
        </w:rPr>
        <w:t>ANEXO I</w:t>
      </w:r>
    </w:p>
    <w:p w:rsidR="001B65F8" w:rsidRPr="00377C84" w:rsidRDefault="001B65F8" w:rsidP="00377C84">
      <w:pPr>
        <w:autoSpaceDE w:val="0"/>
        <w:autoSpaceDN w:val="0"/>
        <w:adjustRightInd w:val="0"/>
        <w:spacing w:after="60" w:line="240" w:lineRule="auto"/>
        <w:jc w:val="center"/>
        <w:rPr>
          <w:rFonts w:ascii="Arial Narrow" w:hAnsi="Arial Narrow" w:cs="TimesNewRomanPSMT"/>
          <w:sz w:val="16"/>
          <w:szCs w:val="16"/>
          <w:lang w:eastAsia="pt-PT"/>
        </w:rPr>
      </w:pPr>
      <w:r w:rsidRPr="00377C84">
        <w:rPr>
          <w:rFonts w:ascii="Arial Narrow" w:hAnsi="Arial Narrow" w:cs="TimesNewRomanPSMT"/>
          <w:sz w:val="16"/>
          <w:szCs w:val="16"/>
          <w:lang w:eastAsia="pt-PT"/>
        </w:rPr>
        <w:t>[Despacho n.º 13981/2012, de 26 de outubro]</w:t>
      </w:r>
    </w:p>
    <w:p w:rsidR="001B65F8" w:rsidRPr="003F6162" w:rsidRDefault="001B65F8" w:rsidP="003F61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lang w:eastAsia="pt-PT"/>
        </w:rPr>
      </w:pPr>
      <w:r w:rsidRPr="003F6162">
        <w:rPr>
          <w:rFonts w:ascii="Arial-BoldMT" w:hAnsi="Arial-BoldMT" w:cs="Arial-BoldMT"/>
          <w:b/>
          <w:bCs/>
          <w:sz w:val="24"/>
          <w:szCs w:val="24"/>
          <w:lang w:eastAsia="pt-PT"/>
        </w:rPr>
        <w:t>Avaliação externa do desempenho docente</w:t>
      </w:r>
    </w:p>
    <w:p w:rsidR="001B65F8" w:rsidRDefault="001B65F8" w:rsidP="007F60D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pt-PT"/>
        </w:rPr>
      </w:pPr>
      <w:r w:rsidRPr="003F6162">
        <w:rPr>
          <w:rFonts w:ascii="TimesNewRomanPS-BoldMT" w:hAnsi="TimesNewRomanPS-BoldMT" w:cs="TimesNewRomanPS-BoldMT"/>
          <w:b/>
          <w:bCs/>
          <w:sz w:val="24"/>
          <w:szCs w:val="24"/>
          <w:lang w:eastAsia="pt-PT"/>
        </w:rPr>
        <w:t>Guião de observação da dimensão científica e pedagógica</w:t>
      </w:r>
    </w:p>
    <w:p w:rsidR="001B65F8" w:rsidRPr="007F60D6" w:rsidRDefault="001B65F8" w:rsidP="007F60D6">
      <w:pPr>
        <w:autoSpaceDE w:val="0"/>
        <w:autoSpaceDN w:val="0"/>
        <w:adjustRightInd w:val="0"/>
        <w:spacing w:after="0" w:line="100" w:lineRule="exact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pt-PT"/>
        </w:rPr>
      </w:pPr>
    </w:p>
    <w:tbl>
      <w:tblPr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7341"/>
      </w:tblGrid>
      <w:tr w:rsidR="001B65F8" w:rsidRPr="0080370B" w:rsidTr="00AE00BA">
        <w:trPr>
          <w:cantSplit/>
          <w:trHeight w:hRule="exact" w:val="340"/>
        </w:trPr>
        <w:tc>
          <w:tcPr>
            <w:tcW w:w="3008" w:type="dxa"/>
            <w:shd w:val="clear" w:color="auto" w:fill="D9D9D9"/>
            <w:vAlign w:val="center"/>
          </w:tcPr>
          <w:p w:rsidR="001B65F8" w:rsidRPr="00B23490" w:rsidRDefault="001B65F8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 w:rsidRPr="00B23490">
              <w:rPr>
                <w:rFonts w:ascii="Arial Narrow" w:hAnsi="Arial Narrow"/>
                <w:b/>
                <w:sz w:val="20"/>
              </w:rPr>
              <w:t>Escola/ Agrupamento</w:t>
            </w:r>
          </w:p>
        </w:tc>
        <w:tc>
          <w:tcPr>
            <w:tcW w:w="7341" w:type="dxa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  <w:tr w:rsidR="001B65F8" w:rsidRPr="0080370B" w:rsidTr="00AE00BA">
        <w:trPr>
          <w:cantSplit/>
          <w:trHeight w:hRule="exact" w:val="340"/>
        </w:trPr>
        <w:tc>
          <w:tcPr>
            <w:tcW w:w="3008" w:type="dxa"/>
            <w:shd w:val="clear" w:color="auto" w:fill="D9D9D9"/>
            <w:vAlign w:val="center"/>
          </w:tcPr>
          <w:p w:rsidR="001B65F8" w:rsidRDefault="001B65F8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Nome do docente</w:t>
            </w:r>
          </w:p>
        </w:tc>
        <w:tc>
          <w:tcPr>
            <w:tcW w:w="7341" w:type="dxa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rPr>
                <w:rStyle w:val="TextodoMarcadordePosio"/>
                <w:rFonts w:cs="Calibri"/>
                <w:sz w:val="20"/>
              </w:rPr>
            </w:pPr>
          </w:p>
        </w:tc>
      </w:tr>
      <w:tr w:rsidR="001B65F8" w:rsidRPr="0080370B" w:rsidTr="00AE00BA">
        <w:trPr>
          <w:cantSplit/>
          <w:trHeight w:hRule="exact" w:val="340"/>
        </w:trPr>
        <w:tc>
          <w:tcPr>
            <w:tcW w:w="3008" w:type="dxa"/>
            <w:shd w:val="clear" w:color="auto" w:fill="D9D9D9"/>
            <w:vAlign w:val="center"/>
          </w:tcPr>
          <w:p w:rsidR="001B65F8" w:rsidRPr="00B23490" w:rsidRDefault="001B65F8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Grupo</w:t>
            </w:r>
            <w:r w:rsidRPr="00B23490">
              <w:rPr>
                <w:rFonts w:ascii="Arial Narrow" w:hAnsi="Arial Narrow"/>
                <w:b/>
                <w:sz w:val="20"/>
              </w:rPr>
              <w:t xml:space="preserve"> de recrutamento</w:t>
            </w:r>
          </w:p>
        </w:tc>
        <w:tc>
          <w:tcPr>
            <w:tcW w:w="7341" w:type="dxa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</w:tbl>
    <w:p w:rsidR="001B65F8" w:rsidRPr="002214E2" w:rsidRDefault="001B65F8" w:rsidP="003F616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6"/>
          <w:szCs w:val="16"/>
          <w:lang w:eastAsia="pt-PT"/>
        </w:rPr>
      </w:pPr>
    </w:p>
    <w:tbl>
      <w:tblPr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736"/>
        <w:gridCol w:w="2374"/>
        <w:gridCol w:w="851"/>
        <w:gridCol w:w="825"/>
        <w:gridCol w:w="1555"/>
      </w:tblGrid>
      <w:tr w:rsidR="001B65F8" w:rsidRPr="0080370B" w:rsidTr="00AE00BA">
        <w:trPr>
          <w:cantSplit/>
          <w:trHeight w:hRule="exact" w:val="397"/>
        </w:trPr>
        <w:tc>
          <w:tcPr>
            <w:tcW w:w="3008" w:type="dxa"/>
            <w:shd w:val="clear" w:color="auto" w:fill="D9D9D9"/>
            <w:vAlign w:val="center"/>
          </w:tcPr>
          <w:p w:rsidR="001B65F8" w:rsidRPr="00B23490" w:rsidRDefault="001B65F8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Observação n.º </w:t>
            </w:r>
          </w:p>
        </w:tc>
        <w:tc>
          <w:tcPr>
            <w:tcW w:w="1736" w:type="dxa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  <w:tc>
          <w:tcPr>
            <w:tcW w:w="2374" w:type="dxa"/>
            <w:shd w:val="clear" w:color="auto" w:fill="D9D9D9"/>
            <w:vAlign w:val="center"/>
          </w:tcPr>
          <w:p w:rsidR="001B65F8" w:rsidRPr="002214E2" w:rsidRDefault="001B65F8" w:rsidP="002214E2">
            <w:pPr>
              <w:spacing w:after="0" w:line="240" w:lineRule="auto"/>
              <w:ind w:left="57" w:right="57"/>
              <w:jc w:val="center"/>
              <w:rPr>
                <w:rFonts w:ascii="Arial Narrow" w:hAnsi="Arial Narrow"/>
                <w:b/>
                <w:sz w:val="20"/>
              </w:rPr>
            </w:pPr>
            <w:r w:rsidRPr="002214E2">
              <w:rPr>
                <w:rFonts w:ascii="Arial Narrow" w:hAnsi="Arial Narrow"/>
                <w:b/>
                <w:sz w:val="20"/>
              </w:rPr>
              <w:t>Data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851" w:type="dxa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825" w:type="dxa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jc w:val="center"/>
              <w:rPr>
                <w:rFonts w:cs="Calibri"/>
                <w:i/>
                <w:sz w:val="20"/>
              </w:rPr>
            </w:pPr>
          </w:p>
        </w:tc>
        <w:tc>
          <w:tcPr>
            <w:tcW w:w="1555" w:type="dxa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jc w:val="center"/>
              <w:rPr>
                <w:rFonts w:cs="Calibri"/>
                <w:i/>
                <w:sz w:val="20"/>
              </w:rPr>
            </w:pPr>
          </w:p>
        </w:tc>
      </w:tr>
      <w:tr w:rsidR="001B65F8" w:rsidRPr="0080370B" w:rsidTr="00AE00BA">
        <w:trPr>
          <w:cantSplit/>
          <w:trHeight w:hRule="exact" w:val="397"/>
        </w:trPr>
        <w:tc>
          <w:tcPr>
            <w:tcW w:w="3008" w:type="dxa"/>
            <w:shd w:val="clear" w:color="auto" w:fill="D9D9D9"/>
            <w:vAlign w:val="center"/>
          </w:tcPr>
          <w:p w:rsidR="001B65F8" w:rsidRPr="00B23490" w:rsidRDefault="001B65F8" w:rsidP="002214E2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Tema</w:t>
            </w:r>
          </w:p>
        </w:tc>
        <w:tc>
          <w:tcPr>
            <w:tcW w:w="7341" w:type="dxa"/>
            <w:gridSpan w:val="5"/>
            <w:vAlign w:val="center"/>
          </w:tcPr>
          <w:p w:rsidR="001B65F8" w:rsidRPr="00FF384D" w:rsidRDefault="001B65F8" w:rsidP="002214E2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</w:tbl>
    <w:p w:rsidR="001B65F8" w:rsidRDefault="001B65F8" w:rsidP="007F60D6">
      <w:pPr>
        <w:autoSpaceDE w:val="0"/>
        <w:autoSpaceDN w:val="0"/>
        <w:adjustRightInd w:val="0"/>
        <w:spacing w:after="0" w:line="100" w:lineRule="exact"/>
        <w:rPr>
          <w:rFonts w:ascii="TrebuchetMS" w:hAnsi="TrebuchetMS" w:cs="TrebuchetMS"/>
          <w:sz w:val="24"/>
          <w:szCs w:val="24"/>
          <w:lang w:eastAsia="pt-PT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B65F8" w:rsidRPr="00F4052A" w:rsidTr="00AE00BA">
        <w:tc>
          <w:tcPr>
            <w:tcW w:w="10349" w:type="dxa"/>
            <w:shd w:val="clear" w:color="auto" w:fill="auto"/>
          </w:tcPr>
          <w:p w:rsidR="001B65F8" w:rsidRPr="00F4052A" w:rsidRDefault="001B65F8" w:rsidP="00CF5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MS" w:hAnsi="TrebuchetMS" w:cs="TrebuchetMS"/>
                <w:lang w:eastAsia="pt-PT"/>
              </w:rPr>
            </w:pPr>
            <w:r w:rsidRPr="00F4052A">
              <w:rPr>
                <w:rFonts w:ascii="TrebuchetMS" w:hAnsi="TrebuchetMS" w:cs="TrebuchetMS"/>
                <w:lang w:eastAsia="pt-PT"/>
              </w:rPr>
              <w:t>Tendo em consideração as circunstâncias concretas de ensino e a especificação dos parâmetros de avaliação, os registos derivados da observação devem incidir nos comportamentos do docente avaliado.</w:t>
            </w:r>
          </w:p>
        </w:tc>
      </w:tr>
    </w:tbl>
    <w:p w:rsidR="001B65F8" w:rsidRPr="001D11E6" w:rsidRDefault="001B65F8" w:rsidP="003F616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eastAsia="pt-PT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2947"/>
        <w:gridCol w:w="3290"/>
      </w:tblGrid>
      <w:tr w:rsidR="001B65F8" w:rsidRPr="00F4052A" w:rsidTr="00AE00BA">
        <w:tc>
          <w:tcPr>
            <w:tcW w:w="1135" w:type="dxa"/>
            <w:vMerge w:val="restart"/>
            <w:shd w:val="clear" w:color="auto" w:fill="F2F2F2"/>
            <w:vAlign w:val="center"/>
          </w:tcPr>
          <w:p w:rsidR="001B65F8" w:rsidRPr="000C75FF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proofErr w:type="spellStart"/>
            <w:r w:rsidRPr="000C75FF">
              <w:rPr>
                <w:rFonts w:ascii="Arial Narrow" w:hAnsi="Arial Narrow" w:cs="TrebuchetMS,Bold"/>
                <w:b/>
                <w:bCs/>
                <w:lang w:eastAsia="pt-PT"/>
              </w:rPr>
              <w:t>Parâ</w:t>
            </w:r>
            <w:proofErr w:type="spellEnd"/>
            <w:r w:rsidRPr="000C75FF">
              <w:rPr>
                <w:rFonts w:ascii="Arial Narrow" w:hAnsi="Arial Narrow" w:cs="TrebuchetMS,Bold"/>
                <w:b/>
                <w:bCs/>
                <w:lang w:eastAsia="pt-PT"/>
              </w:rPr>
              <w:t>-</w:t>
            </w:r>
          </w:p>
          <w:p w:rsidR="001B65F8" w:rsidRPr="000C75FF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0C75FF">
              <w:rPr>
                <w:rFonts w:ascii="Arial Narrow" w:hAnsi="Arial Narrow" w:cs="TrebuchetMS,Bold"/>
                <w:b/>
                <w:bCs/>
                <w:lang w:eastAsia="pt-PT"/>
              </w:rPr>
              <w:t>metros</w:t>
            </w:r>
          </w:p>
        </w:tc>
        <w:tc>
          <w:tcPr>
            <w:tcW w:w="2977" w:type="dxa"/>
            <w:vMerge w:val="restart"/>
            <w:shd w:val="clear" w:color="auto" w:fill="F2F2F2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Especificação</w:t>
            </w:r>
          </w:p>
        </w:tc>
        <w:tc>
          <w:tcPr>
            <w:tcW w:w="6237" w:type="dxa"/>
            <w:gridSpan w:val="2"/>
            <w:shd w:val="clear" w:color="auto" w:fill="F2F2F2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Registos</w:t>
            </w:r>
          </w:p>
        </w:tc>
      </w:tr>
      <w:tr w:rsidR="001B65F8" w:rsidRPr="00F4052A" w:rsidTr="00AE00BA">
        <w:tc>
          <w:tcPr>
            <w:tcW w:w="1135" w:type="dxa"/>
            <w:vMerge/>
            <w:shd w:val="clear" w:color="auto" w:fill="F2F2F2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2977" w:type="dxa"/>
            <w:vMerge/>
            <w:shd w:val="clear" w:color="auto" w:fill="F2F2F2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2947" w:type="dxa"/>
            <w:shd w:val="clear" w:color="auto" w:fill="F2F2F2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Positivos</w:t>
            </w:r>
          </w:p>
        </w:tc>
        <w:tc>
          <w:tcPr>
            <w:tcW w:w="3290" w:type="dxa"/>
            <w:shd w:val="clear" w:color="auto" w:fill="F2F2F2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Negativos</w:t>
            </w:r>
          </w:p>
        </w:tc>
      </w:tr>
      <w:tr w:rsidR="001B65F8" w:rsidRPr="00F4052A" w:rsidTr="00AE00BA">
        <w:trPr>
          <w:cantSplit/>
          <w:trHeight w:val="1928"/>
        </w:trPr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Científico</w:t>
            </w:r>
          </w:p>
          <w:p w:rsidR="001B65F8" w:rsidRPr="004861D6" w:rsidRDefault="001B65F8" w:rsidP="005F313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  <w:r w:rsidRPr="004861D6">
              <w:rPr>
                <w:rFonts w:ascii="Arial Narrow" w:hAnsi="Arial Narrow" w:cs="TrebuchetMS"/>
                <w:sz w:val="20"/>
                <w:szCs w:val="20"/>
                <w:lang w:eastAsia="pt-PT"/>
              </w:rPr>
              <w:t>(Domínio)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sz w:val="15"/>
                <w:szCs w:val="15"/>
                <w:lang w:eastAsia="pt-PT"/>
              </w:rPr>
              <w:t xml:space="preserve">Conteúdo(s)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disciplinar(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es</w:t>
            </w:r>
            <w:proofErr w:type="spellEnd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)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1B65F8" w:rsidRPr="00F4052A" w:rsidTr="00AE00BA">
        <w:trPr>
          <w:cantSplit/>
          <w:trHeight w:val="1522"/>
        </w:trPr>
        <w:tc>
          <w:tcPr>
            <w:tcW w:w="1135" w:type="dxa"/>
            <w:vMerge/>
            <w:shd w:val="clear" w:color="auto" w:fill="auto"/>
            <w:textDirection w:val="btLr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65F8" w:rsidRPr="00F4052A" w:rsidRDefault="001B65F8" w:rsidP="0048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sz w:val="15"/>
                <w:szCs w:val="15"/>
                <w:lang w:eastAsia="pt-PT"/>
              </w:rPr>
              <w:t xml:space="preserve">Conhecimentos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que</w:t>
            </w:r>
            <w:r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e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nquadram e agilizam a</w:t>
            </w:r>
            <w:r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aprendizagem do(s)</w:t>
            </w:r>
            <w:r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conteúdo(s) disciplinar(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es</w:t>
            </w:r>
            <w:proofErr w:type="spellEnd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)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1B65F8" w:rsidRPr="00F4052A" w:rsidTr="00AE00BA">
        <w:trPr>
          <w:cantSplit/>
          <w:trHeight w:val="1969"/>
        </w:trPr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lang w:eastAsia="pt-PT"/>
              </w:rPr>
            </w:pPr>
          </w:p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Pedagógico</w:t>
            </w:r>
          </w:p>
          <w:p w:rsidR="001B65F8" w:rsidRPr="004861D6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  <w:r w:rsidRPr="004861D6">
              <w:rPr>
                <w:rFonts w:ascii="Arial Narrow" w:hAnsi="Arial Narrow" w:cs="TrebuchetMS"/>
                <w:sz w:val="20"/>
                <w:szCs w:val="20"/>
                <w:lang w:eastAsia="pt-PT"/>
              </w:rPr>
              <w:t>(Segurança)</w:t>
            </w:r>
          </w:p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"/>
                <w:lang w:eastAsia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65F8" w:rsidRPr="00F4052A" w:rsidRDefault="001B65F8" w:rsidP="00BA28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Aspetos didáticos que permitam estruturar a aula para tratar os conteúdos previstos nos 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docu</w:t>
            </w:r>
            <w:r>
              <w:rPr>
                <w:rFonts w:ascii="Arial Narrow" w:hAnsi="Arial Narrow" w:cs="TrebuchetMS"/>
                <w:sz w:val="15"/>
                <w:szCs w:val="15"/>
                <w:lang w:eastAsia="pt-PT"/>
              </w:rPr>
              <w:t>-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mentos</w:t>
            </w:r>
            <w:proofErr w:type="spellEnd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curriculares e alcançar os objetivos selecionados, verificar a evolução da aprendizagem, 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orien</w:t>
            </w:r>
            <w:r>
              <w:rPr>
                <w:rFonts w:ascii="Arial Narrow" w:hAnsi="Arial Narrow" w:cs="TrebuchetMS"/>
                <w:sz w:val="15"/>
                <w:szCs w:val="15"/>
                <w:lang w:eastAsia="pt-PT"/>
              </w:rPr>
              <w:t>-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tando</w:t>
            </w:r>
            <w:proofErr w:type="spellEnd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as atividades em função dessa verificação e acompanhar a prestação dos alunos e </w:t>
            </w:r>
            <w:proofErr w:type="spellStart"/>
            <w:r>
              <w:rPr>
                <w:rFonts w:ascii="Arial Narrow" w:hAnsi="Arial Narrow" w:cs="TrebuchetMS"/>
                <w:sz w:val="15"/>
                <w:szCs w:val="15"/>
                <w:lang w:eastAsia="pt-PT"/>
              </w:rPr>
              <w:t>propor-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cionar-lhes</w:t>
            </w:r>
            <w:proofErr w:type="spellEnd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 informação sobre a sua evolução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1B65F8" w:rsidRPr="00F4052A" w:rsidTr="00AE00BA">
        <w:trPr>
          <w:cantSplit/>
          <w:trHeight w:val="2098"/>
        </w:trPr>
        <w:tc>
          <w:tcPr>
            <w:tcW w:w="1135" w:type="dxa"/>
            <w:vMerge/>
            <w:shd w:val="clear" w:color="auto" w:fill="auto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4"/>
                <w:szCs w:val="24"/>
                <w:lang w:eastAsia="pt-PT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B65F8" w:rsidRPr="00F4052A" w:rsidRDefault="001B65F8" w:rsidP="00CF5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rebuchetMS"/>
                <w:sz w:val="15"/>
                <w:szCs w:val="15"/>
                <w:lang w:eastAsia="pt-PT"/>
              </w:rPr>
            </w:pP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 xml:space="preserve">Aspetos relacionais que permitam assegurar o funcionamento da aula com base em regras que acautelem a disciplina; envolver os alunos e proporcionar a sua participação nas atividades; estimulá-los a melhorar a </w:t>
            </w:r>
            <w:proofErr w:type="spellStart"/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aprendi</w:t>
            </w:r>
            <w:r>
              <w:rPr>
                <w:rFonts w:ascii="Arial Narrow" w:hAnsi="Arial Narrow" w:cs="TrebuchetMS"/>
                <w:sz w:val="15"/>
                <w:szCs w:val="15"/>
                <w:lang w:eastAsia="pt-PT"/>
              </w:rPr>
              <w:t>-</w:t>
            </w:r>
            <w:r w:rsidRPr="00F4052A">
              <w:rPr>
                <w:rFonts w:ascii="Arial Narrow" w:hAnsi="Arial Narrow" w:cs="TrebuchetMS"/>
                <w:sz w:val="15"/>
                <w:szCs w:val="15"/>
                <w:lang w:eastAsia="pt-PT"/>
              </w:rPr>
              <w:t>zagem</w:t>
            </w:r>
            <w:proofErr w:type="spellEnd"/>
          </w:p>
        </w:tc>
        <w:tc>
          <w:tcPr>
            <w:tcW w:w="2947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0"/>
                <w:szCs w:val="20"/>
                <w:lang w:eastAsia="pt-PT"/>
              </w:rPr>
            </w:pPr>
          </w:p>
        </w:tc>
      </w:tr>
      <w:tr w:rsidR="001B65F8" w:rsidRPr="00F4052A" w:rsidTr="00AE00BA">
        <w:trPr>
          <w:trHeight w:val="1077"/>
        </w:trPr>
        <w:tc>
          <w:tcPr>
            <w:tcW w:w="10349" w:type="dxa"/>
            <w:gridSpan w:val="4"/>
            <w:shd w:val="clear" w:color="auto" w:fill="auto"/>
          </w:tcPr>
          <w:p w:rsidR="001B65F8" w:rsidRPr="005F3139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sz w:val="24"/>
                <w:szCs w:val="24"/>
                <w:lang w:eastAsia="pt-PT"/>
              </w:rPr>
              <w:t>Considerações:</w:t>
            </w:r>
          </w:p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"/>
                <w:sz w:val="24"/>
                <w:szCs w:val="24"/>
                <w:lang w:eastAsia="pt-PT"/>
              </w:rPr>
            </w:pPr>
          </w:p>
        </w:tc>
      </w:tr>
    </w:tbl>
    <w:p w:rsidR="001B65F8" w:rsidRPr="00D35289" w:rsidRDefault="001B65F8" w:rsidP="00A607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  <w:r w:rsidRPr="00D35289">
        <w:rPr>
          <w:rFonts w:ascii="Trebuchet MS" w:hAnsi="Trebuchet MS" w:cs="Arial-BoldMT"/>
          <w:b/>
          <w:bCs/>
          <w:sz w:val="28"/>
          <w:szCs w:val="28"/>
        </w:rPr>
        <w:lastRenderedPageBreak/>
        <w:t>ANEXO II</w:t>
      </w:r>
    </w:p>
    <w:p w:rsidR="001B65F8" w:rsidRPr="00377C84" w:rsidRDefault="001B65F8" w:rsidP="00335EC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 w:cs="TimesNewRomanPSMT"/>
          <w:sz w:val="16"/>
          <w:szCs w:val="16"/>
          <w:lang w:eastAsia="pt-PT"/>
        </w:rPr>
      </w:pPr>
      <w:r w:rsidRPr="00377C84">
        <w:rPr>
          <w:rFonts w:ascii="Arial Narrow" w:hAnsi="Arial Narrow" w:cs="TimesNewRomanPSMT"/>
          <w:sz w:val="16"/>
          <w:szCs w:val="16"/>
          <w:lang w:eastAsia="pt-PT"/>
        </w:rPr>
        <w:t>[Despacho n.º 13981/2012, de 26 de outubro]</w:t>
      </w:r>
    </w:p>
    <w:p w:rsidR="001B65F8" w:rsidRPr="00335EC5" w:rsidRDefault="001B65F8" w:rsidP="00A607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4"/>
          <w:szCs w:val="24"/>
        </w:rPr>
      </w:pPr>
    </w:p>
    <w:p w:rsidR="001B65F8" w:rsidRPr="00D35289" w:rsidRDefault="001B65F8" w:rsidP="00A607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  <w:r w:rsidRPr="00D35289">
        <w:rPr>
          <w:rFonts w:ascii="Trebuchet MS" w:hAnsi="Trebuchet MS" w:cs="Arial-BoldMT"/>
          <w:b/>
          <w:bCs/>
          <w:sz w:val="28"/>
          <w:szCs w:val="28"/>
        </w:rPr>
        <w:t>Avaliação externa do desempenho docente</w:t>
      </w:r>
    </w:p>
    <w:p w:rsidR="001B65F8" w:rsidRDefault="001B65F8" w:rsidP="00A607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  <w:r w:rsidRPr="00D35289">
        <w:rPr>
          <w:rFonts w:ascii="Trebuchet MS" w:hAnsi="Trebuchet MS" w:cs="Arial-BoldMT"/>
          <w:b/>
          <w:bCs/>
          <w:sz w:val="28"/>
          <w:szCs w:val="28"/>
        </w:rPr>
        <w:t>Classificação da observação de aulas</w:t>
      </w:r>
    </w:p>
    <w:p w:rsidR="001B65F8" w:rsidRPr="00D35289" w:rsidRDefault="001B65F8" w:rsidP="00A607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1"/>
        <w:gridCol w:w="7341"/>
      </w:tblGrid>
      <w:tr w:rsidR="001B65F8" w:rsidRPr="0080370B" w:rsidTr="001B65F8">
        <w:trPr>
          <w:cantSplit/>
          <w:trHeight w:hRule="exact" w:val="397"/>
        </w:trPr>
        <w:tc>
          <w:tcPr>
            <w:tcW w:w="2441" w:type="dxa"/>
            <w:shd w:val="clear" w:color="auto" w:fill="D9D9D9"/>
            <w:vAlign w:val="center"/>
          </w:tcPr>
          <w:p w:rsidR="001B65F8" w:rsidRPr="00B23490" w:rsidRDefault="001B65F8" w:rsidP="00D35289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B23490">
              <w:rPr>
                <w:rFonts w:ascii="Arial Narrow" w:hAnsi="Arial Narrow"/>
                <w:b/>
                <w:sz w:val="20"/>
              </w:rPr>
              <w:t>Escola/ Agrupamento</w:t>
            </w:r>
          </w:p>
        </w:tc>
        <w:tc>
          <w:tcPr>
            <w:tcW w:w="7341" w:type="dxa"/>
            <w:vAlign w:val="center"/>
          </w:tcPr>
          <w:p w:rsidR="001B65F8" w:rsidRPr="00FF384D" w:rsidRDefault="001B65F8" w:rsidP="00D35289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  <w:tr w:rsidR="001B65F8" w:rsidRPr="0080370B" w:rsidTr="001B65F8">
        <w:trPr>
          <w:cantSplit/>
          <w:trHeight w:hRule="exact" w:val="397"/>
        </w:trPr>
        <w:tc>
          <w:tcPr>
            <w:tcW w:w="2441" w:type="dxa"/>
            <w:shd w:val="clear" w:color="auto" w:fill="D9D9D9"/>
            <w:vAlign w:val="center"/>
          </w:tcPr>
          <w:p w:rsidR="001B65F8" w:rsidRDefault="001B65F8" w:rsidP="002E20AE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Nome do docente</w:t>
            </w:r>
          </w:p>
        </w:tc>
        <w:tc>
          <w:tcPr>
            <w:tcW w:w="7341" w:type="dxa"/>
            <w:vAlign w:val="center"/>
          </w:tcPr>
          <w:p w:rsidR="001B65F8" w:rsidRPr="00FF384D" w:rsidRDefault="001B65F8" w:rsidP="00D35289">
            <w:pPr>
              <w:spacing w:after="0" w:line="240" w:lineRule="auto"/>
              <w:ind w:left="57" w:right="57"/>
              <w:rPr>
                <w:rStyle w:val="TextodoMarcadordePosio"/>
                <w:rFonts w:cs="Calibri"/>
                <w:sz w:val="20"/>
              </w:rPr>
            </w:pPr>
          </w:p>
        </w:tc>
      </w:tr>
      <w:tr w:rsidR="001B65F8" w:rsidRPr="0080370B" w:rsidTr="001B65F8">
        <w:trPr>
          <w:cantSplit/>
          <w:trHeight w:hRule="exact" w:val="397"/>
        </w:trPr>
        <w:tc>
          <w:tcPr>
            <w:tcW w:w="2441" w:type="dxa"/>
            <w:shd w:val="clear" w:color="auto" w:fill="D9D9D9"/>
            <w:vAlign w:val="center"/>
          </w:tcPr>
          <w:p w:rsidR="001B65F8" w:rsidRPr="00B23490" w:rsidRDefault="001B65F8" w:rsidP="00D35289">
            <w:pPr>
              <w:spacing w:after="0" w:line="240" w:lineRule="auto"/>
              <w:ind w:left="57" w:right="5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Grupo</w:t>
            </w:r>
            <w:r w:rsidRPr="00B23490">
              <w:rPr>
                <w:rFonts w:ascii="Arial Narrow" w:hAnsi="Arial Narrow"/>
                <w:b/>
                <w:sz w:val="20"/>
              </w:rPr>
              <w:t xml:space="preserve"> de recrutamento</w:t>
            </w:r>
          </w:p>
        </w:tc>
        <w:tc>
          <w:tcPr>
            <w:tcW w:w="7341" w:type="dxa"/>
            <w:vAlign w:val="center"/>
          </w:tcPr>
          <w:p w:rsidR="001B65F8" w:rsidRPr="00FF384D" w:rsidRDefault="001B65F8" w:rsidP="00D35289">
            <w:pPr>
              <w:spacing w:after="0" w:line="240" w:lineRule="auto"/>
              <w:ind w:left="57" w:right="57"/>
              <w:rPr>
                <w:rFonts w:cs="Calibri"/>
                <w:i/>
                <w:sz w:val="20"/>
              </w:rPr>
            </w:pPr>
          </w:p>
        </w:tc>
      </w:tr>
    </w:tbl>
    <w:p w:rsidR="001B65F8" w:rsidRDefault="001B65F8" w:rsidP="00A60797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eastAsia="pt-PT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559"/>
        <w:gridCol w:w="567"/>
        <w:gridCol w:w="3969"/>
        <w:gridCol w:w="1134"/>
        <w:gridCol w:w="1418"/>
      </w:tblGrid>
      <w:tr w:rsidR="001B65F8" w:rsidRPr="00555585" w:rsidTr="001B65F8">
        <w:tc>
          <w:tcPr>
            <w:tcW w:w="1106" w:type="dxa"/>
            <w:shd w:val="clear" w:color="auto" w:fill="F2F2F2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proofErr w:type="spellStart"/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Parâ-metros</w:t>
            </w:r>
            <w:proofErr w:type="spellEnd"/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Especificação e ponderação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Descrição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Classificação</w:t>
            </w:r>
          </w:p>
        </w:tc>
      </w:tr>
      <w:tr w:rsidR="001B65F8" w:rsidRPr="00555585" w:rsidTr="001B65F8">
        <w:trPr>
          <w:cantSplit/>
          <w:trHeight w:val="1531"/>
        </w:trPr>
        <w:tc>
          <w:tcPr>
            <w:tcW w:w="1106" w:type="dxa"/>
            <w:vMerge w:val="restart"/>
            <w:shd w:val="clear" w:color="auto" w:fill="auto"/>
            <w:textDirection w:val="btLr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Científico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(50%)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Conteúdo(s) disciplinar(</w:t>
            </w:r>
            <w:proofErr w:type="spellStart"/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es</w:t>
            </w:r>
            <w:proofErr w:type="spellEnd"/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40%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4"/>
                <w:szCs w:val="24"/>
                <w:lang w:eastAsia="pt-PT"/>
              </w:rPr>
            </w:pPr>
          </w:p>
        </w:tc>
      </w:tr>
      <w:tr w:rsidR="001B65F8" w:rsidRPr="00555585" w:rsidTr="001B65F8">
        <w:trPr>
          <w:cantSplit/>
          <w:trHeight w:val="1531"/>
        </w:trPr>
        <w:tc>
          <w:tcPr>
            <w:tcW w:w="1106" w:type="dxa"/>
            <w:vMerge/>
            <w:shd w:val="clear" w:color="auto" w:fill="auto"/>
            <w:textDirection w:val="btLr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Conhecimentos que enquadram e agilizam a aprendizagem do(s) conteúdo(s) disciplinar(</w:t>
            </w:r>
            <w:proofErr w:type="spellStart"/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es</w:t>
            </w:r>
            <w:proofErr w:type="spellEnd"/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10%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4"/>
                <w:szCs w:val="24"/>
                <w:lang w:eastAsia="pt-PT"/>
              </w:rPr>
            </w:pPr>
          </w:p>
        </w:tc>
      </w:tr>
      <w:tr w:rsidR="001B65F8" w:rsidRPr="00555585" w:rsidTr="001B65F8">
        <w:trPr>
          <w:cantSplit/>
          <w:trHeight w:val="1531"/>
        </w:trPr>
        <w:tc>
          <w:tcPr>
            <w:tcW w:w="1106" w:type="dxa"/>
            <w:vMerge w:val="restart"/>
            <w:shd w:val="clear" w:color="auto" w:fill="auto"/>
            <w:textDirection w:val="btLr"/>
            <w:vAlign w:val="center"/>
          </w:tcPr>
          <w:p w:rsidR="001B65F8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Pedagógico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(50%)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 xml:space="preserve">Aspetos 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didáticos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40%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4"/>
                <w:szCs w:val="24"/>
                <w:lang w:eastAsia="pt-PT"/>
              </w:rPr>
            </w:pPr>
          </w:p>
        </w:tc>
      </w:tr>
      <w:tr w:rsidR="001B65F8" w:rsidRPr="00555585" w:rsidTr="001B65F8">
        <w:trPr>
          <w:cantSplit/>
          <w:trHeight w:val="1531"/>
        </w:trPr>
        <w:tc>
          <w:tcPr>
            <w:tcW w:w="1106" w:type="dxa"/>
            <w:vMerge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Aspetos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relacionais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10%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4"/>
                <w:szCs w:val="24"/>
                <w:lang w:eastAsia="pt-PT"/>
              </w:rPr>
            </w:pPr>
          </w:p>
        </w:tc>
      </w:tr>
      <w:tr w:rsidR="001B65F8" w:rsidRPr="00555585" w:rsidTr="001B65F8">
        <w:trPr>
          <w:trHeight w:val="1247"/>
        </w:trPr>
        <w:tc>
          <w:tcPr>
            <w:tcW w:w="9753" w:type="dxa"/>
            <w:gridSpan w:val="6"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Apreciação global:</w:t>
            </w:r>
          </w:p>
        </w:tc>
      </w:tr>
      <w:tr w:rsidR="001B65F8" w:rsidRPr="00555585" w:rsidTr="001B65F8">
        <w:trPr>
          <w:trHeight w:val="1247"/>
        </w:trPr>
        <w:tc>
          <w:tcPr>
            <w:tcW w:w="9753" w:type="dxa"/>
            <w:gridSpan w:val="6"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/>
                <w:bCs/>
                <w:sz w:val="20"/>
                <w:szCs w:val="20"/>
                <w:lang w:eastAsia="pt-PT"/>
              </w:rPr>
              <w:t>Recomendações:</w:t>
            </w:r>
          </w:p>
        </w:tc>
      </w:tr>
      <w:tr w:rsidR="001B65F8" w:rsidRPr="00555585" w:rsidTr="001B65F8">
        <w:trPr>
          <w:trHeight w:val="624"/>
        </w:trPr>
        <w:tc>
          <w:tcPr>
            <w:tcW w:w="7201" w:type="dxa"/>
            <w:gridSpan w:val="4"/>
            <w:tcBorders>
              <w:bottom w:val="dotted" w:sz="6" w:space="0" w:color="auto"/>
            </w:tcBorders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O avaliador: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Classificação final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(Escala: 1 a 10)</w:t>
            </w:r>
          </w:p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 w:rsidRPr="00555585"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 xml:space="preserve">Nível: </w:t>
            </w:r>
          </w:p>
        </w:tc>
      </w:tr>
      <w:tr w:rsidR="001B65F8" w:rsidRPr="00555585" w:rsidTr="001B65F8">
        <w:trPr>
          <w:trHeight w:val="397"/>
        </w:trPr>
        <w:tc>
          <w:tcPr>
            <w:tcW w:w="7201" w:type="dxa"/>
            <w:gridSpan w:val="4"/>
            <w:tcBorders>
              <w:top w:val="dotted" w:sz="6" w:space="0" w:color="auto"/>
            </w:tcBorders>
            <w:shd w:val="clear" w:color="auto" w:fill="auto"/>
            <w:vAlign w:val="center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  <w:r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  <w:t>/      / 2013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1B65F8" w:rsidRPr="00555585" w:rsidRDefault="001B65F8" w:rsidP="005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,Bold"/>
                <w:bCs/>
                <w:sz w:val="20"/>
                <w:szCs w:val="20"/>
                <w:lang w:eastAsia="pt-PT"/>
              </w:rPr>
            </w:pPr>
          </w:p>
        </w:tc>
      </w:tr>
    </w:tbl>
    <w:p w:rsidR="001B65F8" w:rsidRPr="002E20AE" w:rsidRDefault="001B65F8" w:rsidP="00A60797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"/>
          <w:szCs w:val="2"/>
          <w:lang w:eastAsia="pt-PT"/>
        </w:rPr>
      </w:pPr>
    </w:p>
    <w:p w:rsidR="001B65F8" w:rsidRPr="00A83F93" w:rsidRDefault="001B65F8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  <w:r w:rsidRPr="00A83F93">
        <w:rPr>
          <w:rFonts w:ascii="Trebuchet MS" w:hAnsi="Trebuchet MS" w:cs="Arial-BoldMT"/>
          <w:b/>
          <w:bCs/>
          <w:sz w:val="28"/>
          <w:szCs w:val="28"/>
        </w:rPr>
        <w:lastRenderedPageBreak/>
        <w:t>ANEXO III</w:t>
      </w:r>
    </w:p>
    <w:p w:rsidR="001B65F8" w:rsidRPr="00377C84" w:rsidRDefault="001B65F8" w:rsidP="00CD334A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 Narrow" w:hAnsi="Arial Narrow" w:cs="TimesNewRomanPSMT"/>
          <w:sz w:val="16"/>
          <w:szCs w:val="16"/>
          <w:lang w:eastAsia="pt-PT"/>
        </w:rPr>
      </w:pPr>
      <w:r w:rsidRPr="00377C84">
        <w:rPr>
          <w:rFonts w:ascii="Arial Narrow" w:hAnsi="Arial Narrow" w:cs="TimesNewRomanPSMT"/>
          <w:sz w:val="16"/>
          <w:szCs w:val="16"/>
          <w:lang w:eastAsia="pt-PT"/>
        </w:rPr>
        <w:t>[Despacho n.º 13981/2012, de 26 de outubro]</w:t>
      </w:r>
    </w:p>
    <w:p w:rsidR="001B65F8" w:rsidRPr="001B27DA" w:rsidRDefault="001B65F8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4"/>
          <w:szCs w:val="24"/>
        </w:rPr>
      </w:pPr>
    </w:p>
    <w:p w:rsidR="001B65F8" w:rsidRDefault="001B65F8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sz w:val="28"/>
          <w:szCs w:val="28"/>
        </w:rPr>
      </w:pPr>
      <w:r w:rsidRPr="00A83F93">
        <w:rPr>
          <w:rFonts w:ascii="Trebuchet MS" w:hAnsi="Trebuchet MS" w:cs="Arial-BoldMT"/>
          <w:b/>
          <w:bCs/>
          <w:sz w:val="28"/>
          <w:szCs w:val="28"/>
        </w:rPr>
        <w:t>Parâmetros científicos e pedagógicos e níveis de desempenho</w:t>
      </w:r>
    </w:p>
    <w:p w:rsidR="001B65F8" w:rsidRPr="00A83F93" w:rsidRDefault="001B65F8" w:rsidP="00CC50B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sz w:val="28"/>
          <w:szCs w:val="28"/>
        </w:rPr>
      </w:pPr>
    </w:p>
    <w:p w:rsidR="001B65F8" w:rsidRPr="000F0CE0" w:rsidRDefault="001B65F8" w:rsidP="006213F3">
      <w:pPr>
        <w:autoSpaceDE w:val="0"/>
        <w:autoSpaceDN w:val="0"/>
        <w:adjustRightInd w:val="0"/>
        <w:spacing w:after="0" w:line="240" w:lineRule="auto"/>
        <w:rPr>
          <w:rFonts w:ascii="Trebuchet MS" w:hAnsi="Trebuchet MS" w:cs="BKEBG E+ Trebuchet MS"/>
          <w:color w:val="000000"/>
          <w:sz w:val="20"/>
          <w:szCs w:val="20"/>
        </w:rPr>
      </w:pPr>
    </w:p>
    <w:tbl>
      <w:tblPr>
        <w:tblW w:w="9925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3912"/>
        <w:gridCol w:w="3912"/>
      </w:tblGrid>
      <w:tr w:rsidR="001B65F8" w:rsidRPr="00F94E8E" w:rsidTr="001B65F8">
        <w:trPr>
          <w:trHeight w:hRule="exact" w:val="454"/>
        </w:trPr>
        <w:tc>
          <w:tcPr>
            <w:tcW w:w="2101" w:type="dxa"/>
            <w:vMerge w:val="restart"/>
            <w:tcBorders>
              <w:tl2br w:val="single" w:sz="2" w:space="0" w:color="000000"/>
            </w:tcBorders>
          </w:tcPr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Parâmetros</w:t>
            </w: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jc w:val="right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4111EF">
            <w:pPr>
              <w:autoSpaceDE w:val="0"/>
              <w:autoSpaceDN w:val="0"/>
              <w:adjustRightInd w:val="0"/>
              <w:spacing w:after="0" w:line="240" w:lineRule="auto"/>
              <w:ind w:left="57" w:right="284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Níveis de Desempenho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1. Científico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2. Pedagógico</w:t>
            </w:r>
          </w:p>
        </w:tc>
      </w:tr>
      <w:tr w:rsidR="001B65F8" w:rsidRPr="00F94E8E" w:rsidTr="001B65F8">
        <w:trPr>
          <w:trHeight w:hRule="exact" w:val="284"/>
        </w:trPr>
        <w:tc>
          <w:tcPr>
            <w:tcW w:w="2101" w:type="dxa"/>
            <w:vMerge/>
            <w:tcBorders>
              <w:tl2br w:val="single" w:sz="2" w:space="0" w:color="000000"/>
            </w:tcBorders>
            <w:vAlign w:val="center"/>
          </w:tcPr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B65F8" w:rsidRPr="00F94E8E" w:rsidRDefault="001B65F8" w:rsidP="00662167">
            <w:pPr>
              <w:autoSpaceDE w:val="0"/>
              <w:autoSpaceDN w:val="0"/>
              <w:adjustRightInd w:val="0"/>
              <w:spacing w:before="60"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Tendo em conta:</w:t>
            </w:r>
          </w:p>
        </w:tc>
        <w:tc>
          <w:tcPr>
            <w:tcW w:w="3912" w:type="dxa"/>
            <w:tcBorders>
              <w:bottom w:val="nil"/>
            </w:tcBorders>
          </w:tcPr>
          <w:p w:rsidR="001B65F8" w:rsidRPr="00F94E8E" w:rsidRDefault="001B65F8" w:rsidP="00662167">
            <w:pPr>
              <w:autoSpaceDE w:val="0"/>
              <w:autoSpaceDN w:val="0"/>
              <w:adjustRightInd w:val="0"/>
              <w:spacing w:before="60"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Tendo em conta:</w:t>
            </w:r>
          </w:p>
        </w:tc>
      </w:tr>
      <w:tr w:rsidR="001B65F8" w:rsidRPr="00F94E8E" w:rsidTr="001B65F8">
        <w:trPr>
          <w:trHeight w:hRule="exact" w:val="5078"/>
        </w:trPr>
        <w:tc>
          <w:tcPr>
            <w:tcW w:w="2101" w:type="dxa"/>
            <w:vMerge/>
            <w:tcBorders>
              <w:tl2br w:val="single" w:sz="2" w:space="0" w:color="000000"/>
            </w:tcBorders>
          </w:tcPr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nil"/>
            </w:tcBorders>
          </w:tcPr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1.1. Os conteúdos disciplinares </w:t>
            </w:r>
            <w:r w:rsidRPr="00F94E8E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40%.</w:t>
            </w:r>
          </w:p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4"/>
                <w:szCs w:val="24"/>
              </w:rPr>
            </w:pPr>
          </w:p>
          <w:p w:rsidR="001B65F8" w:rsidRPr="00F94E8E" w:rsidRDefault="001B65F8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1.2. Conhecimentos que enquadram e agilizam a aprendizagem dos conteúdos disciplinares </w:t>
            </w:r>
            <w:r w:rsidRPr="00F94E8E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10%.</w:t>
            </w:r>
          </w:p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4"/>
                <w:szCs w:val="24"/>
              </w:rPr>
            </w:pPr>
          </w:p>
          <w:p w:rsidR="001B65F8" w:rsidRPr="00F94E8E" w:rsidRDefault="001B65F8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 xml:space="preserve">Nota: Caso 1.2. não se aplique o 1.1. </w:t>
            </w: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passará a ter a ponderação de 50%.</w:t>
            </w:r>
          </w:p>
        </w:tc>
        <w:tc>
          <w:tcPr>
            <w:tcW w:w="3912" w:type="dxa"/>
            <w:tcBorders>
              <w:top w:val="nil"/>
            </w:tcBorders>
          </w:tcPr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2.1. Aspetos didáticos que permitam estruturar a aula para tratar os conteúdos previstos nos documentos curriculares e alcançar os objetivos selecionados; verificar a evolução da aprendizagem, orientando as atividades em função dessa verificação e acompanhar a prestação dos alunos e proporcionar-lhe informação sobre a sua evolução </w:t>
            </w:r>
            <w:r w:rsidRPr="00F94E8E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40%.</w:t>
            </w:r>
          </w:p>
          <w:p w:rsidR="001B65F8" w:rsidRPr="00F94E8E" w:rsidRDefault="001B65F8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  <w:p w:rsidR="001B65F8" w:rsidRPr="00F94E8E" w:rsidRDefault="001B65F8" w:rsidP="00662167">
            <w:pPr>
              <w:autoSpaceDE w:val="0"/>
              <w:autoSpaceDN w:val="0"/>
              <w:adjustRightInd w:val="0"/>
              <w:spacing w:after="0" w:line="288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2.2. Aspetos relacionais que permitam assegurar o funcionamento da aula com base em regras que acautelem a disciplina; envolver os alunos e proporcionar a sua participação nas atividades; estimulá-los a melhorar a aprendizagem </w:t>
            </w:r>
            <w:r w:rsidRPr="00F94E8E">
              <w:rPr>
                <w:rFonts w:ascii="Trebuchet MS" w:hAnsi="Trebuchet MS" w:cs="Arial Narrow"/>
                <w:color w:val="000000"/>
                <w:sz w:val="20"/>
                <w:szCs w:val="20"/>
              </w:rPr>
              <w:t>-</w:t>
            </w: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 10%.</w:t>
            </w:r>
          </w:p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</w:tc>
      </w:tr>
      <w:tr w:rsidR="001B65F8" w:rsidRPr="00F94E8E" w:rsidTr="001B65F8">
        <w:trPr>
          <w:trHeight w:hRule="exact" w:val="397"/>
        </w:trPr>
        <w:tc>
          <w:tcPr>
            <w:tcW w:w="2101" w:type="dxa"/>
            <w:vMerge/>
            <w:tcBorders>
              <w:tl2br w:val="single" w:sz="2" w:space="0" w:color="000000"/>
            </w:tcBorders>
          </w:tcPr>
          <w:p w:rsidR="001B65F8" w:rsidRPr="00F94E8E" w:rsidRDefault="001B65F8" w:rsidP="006213F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1B65F8" w:rsidRPr="00F94E8E" w:rsidRDefault="001B65F8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O professor avaliado revela: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A83F9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O professor avaliado revela:</w:t>
            </w:r>
          </w:p>
        </w:tc>
      </w:tr>
      <w:tr w:rsidR="001B65F8" w:rsidRPr="00F94E8E" w:rsidTr="001B65F8">
        <w:trPr>
          <w:trHeight w:val="850"/>
        </w:trPr>
        <w:tc>
          <w:tcPr>
            <w:tcW w:w="2101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Excelente</w:t>
            </w:r>
          </w:p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(9 a 10 valores)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TrebuchetMS"/>
                <w:sz w:val="20"/>
                <w:szCs w:val="20"/>
              </w:rPr>
              <w:t>Domínio pleno dos conteúdos disciplinares e de conhecimentos funcionais.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TrebuchetMS"/>
                <w:sz w:val="20"/>
                <w:szCs w:val="20"/>
              </w:rPr>
              <w:t>Segurança inequívoca tanto em termos relacionais como didáticos.</w:t>
            </w:r>
          </w:p>
        </w:tc>
      </w:tr>
      <w:tr w:rsidR="001B65F8" w:rsidRPr="00F94E8E" w:rsidTr="001B65F8">
        <w:trPr>
          <w:trHeight w:val="850"/>
        </w:trPr>
        <w:tc>
          <w:tcPr>
            <w:tcW w:w="2101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Muito bom</w:t>
            </w:r>
          </w:p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(8 a 8,9 valores)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Muito bom domínio dos conteúdos disciplinares e de conhecimentos funcionais. 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Muito boa segurança em termos relacionais e pedagógicos. </w:t>
            </w:r>
          </w:p>
        </w:tc>
      </w:tr>
      <w:tr w:rsidR="001B65F8" w:rsidRPr="00F94E8E" w:rsidTr="001B65F8">
        <w:trPr>
          <w:trHeight w:val="850"/>
        </w:trPr>
        <w:tc>
          <w:tcPr>
            <w:tcW w:w="2101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Bom</w:t>
            </w:r>
          </w:p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(6,5 a 7,9 valores)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Bom domínio dos conteúdos disciplinares e de conhecimentos funcionais. 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Boa segurança em termos relacionais e pedagógicos. </w:t>
            </w:r>
          </w:p>
        </w:tc>
      </w:tr>
      <w:tr w:rsidR="001B65F8" w:rsidRPr="00F94E8E" w:rsidTr="001B65F8">
        <w:trPr>
          <w:trHeight w:val="850"/>
        </w:trPr>
        <w:tc>
          <w:tcPr>
            <w:tcW w:w="2101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Regular</w:t>
            </w:r>
          </w:p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(5 a 6,4 valores)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Domínio regular dos conteúdos disciplinares e de conhecimentos funcionais.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Segurança regular em termos relacionais e pedagógicos. </w:t>
            </w:r>
          </w:p>
        </w:tc>
      </w:tr>
      <w:tr w:rsidR="001B65F8" w:rsidRPr="00F94E8E" w:rsidTr="001B65F8">
        <w:trPr>
          <w:trHeight w:val="850"/>
        </w:trPr>
        <w:tc>
          <w:tcPr>
            <w:tcW w:w="2101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F D+ Trebuchet M S,"/>
                <w:b/>
                <w:bCs/>
                <w:color w:val="000000"/>
                <w:sz w:val="20"/>
                <w:szCs w:val="20"/>
              </w:rPr>
              <w:t>Insuficiente</w:t>
            </w:r>
          </w:p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F D+ Trebuchet M S,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>(1 a 4,9 valores)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Falhas graves evidentes nos conteúdos disciplinares e de conhecimentos funcionais. </w:t>
            </w:r>
          </w:p>
        </w:tc>
        <w:tc>
          <w:tcPr>
            <w:tcW w:w="3912" w:type="dxa"/>
            <w:vAlign w:val="center"/>
          </w:tcPr>
          <w:p w:rsidR="001B65F8" w:rsidRPr="00F94E8E" w:rsidRDefault="001B65F8" w:rsidP="0006044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rebuchet MS" w:hAnsi="Trebuchet MS" w:cs="BKEBG E+ Trebuchet MS"/>
                <w:color w:val="000000"/>
                <w:sz w:val="20"/>
                <w:szCs w:val="20"/>
              </w:rPr>
            </w:pPr>
            <w:r w:rsidRPr="00F94E8E">
              <w:rPr>
                <w:rFonts w:ascii="Trebuchet MS" w:hAnsi="Trebuchet MS" w:cs="BKEBG E+ Trebuchet MS"/>
                <w:color w:val="000000"/>
                <w:sz w:val="20"/>
                <w:szCs w:val="20"/>
              </w:rPr>
              <w:t xml:space="preserve">Falhas graves evidentes em termos relacionais e pedagógicos. </w:t>
            </w:r>
          </w:p>
        </w:tc>
      </w:tr>
    </w:tbl>
    <w:p w:rsidR="001B65F8" w:rsidRPr="006213F3" w:rsidRDefault="001B65F8" w:rsidP="006213F3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AE00BA" w:rsidRDefault="00AE00BA" w:rsidP="001D11E6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NewRomanPSMT"/>
          <w:b/>
          <w:lang w:eastAsia="pt-PT"/>
        </w:rPr>
      </w:pPr>
    </w:p>
    <w:p w:rsidR="00AE00BA" w:rsidRDefault="00AE00BA" w:rsidP="001D11E6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NewRomanPSMT"/>
          <w:b/>
          <w:lang w:eastAsia="pt-PT"/>
        </w:rPr>
      </w:pPr>
    </w:p>
    <w:p w:rsidR="00AE00BA" w:rsidRDefault="00AE00BA" w:rsidP="001D11E6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NewRomanPSMT"/>
          <w:b/>
          <w:lang w:eastAsia="pt-PT"/>
        </w:rPr>
      </w:pPr>
    </w:p>
    <w:p w:rsidR="001B65F8" w:rsidRPr="0058277D" w:rsidRDefault="001B65F8" w:rsidP="001D11E6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NewRomanPSMT"/>
          <w:b/>
          <w:lang w:eastAsia="pt-PT"/>
        </w:rPr>
      </w:pPr>
      <w:r w:rsidRPr="0058277D">
        <w:rPr>
          <w:rFonts w:ascii="Arial Narrow" w:hAnsi="Arial Narrow" w:cs="TimesNewRomanPSMT"/>
          <w:b/>
          <w:lang w:eastAsia="pt-PT"/>
        </w:rPr>
        <w:lastRenderedPageBreak/>
        <w:t>ANEXO I</w:t>
      </w:r>
    </w:p>
    <w:p w:rsidR="001B65F8" w:rsidRPr="003340F9" w:rsidRDefault="001B65F8" w:rsidP="00377C84">
      <w:pPr>
        <w:autoSpaceDE w:val="0"/>
        <w:autoSpaceDN w:val="0"/>
        <w:adjustRightInd w:val="0"/>
        <w:spacing w:after="60" w:line="240" w:lineRule="auto"/>
        <w:jc w:val="center"/>
        <w:rPr>
          <w:rFonts w:ascii="Arial Narrow" w:hAnsi="Arial Narrow" w:cs="TimesNewRomanPSMT"/>
          <w:sz w:val="16"/>
          <w:szCs w:val="16"/>
          <w:lang w:eastAsia="pt-PT"/>
        </w:rPr>
      </w:pPr>
      <w:r w:rsidRPr="003340F9">
        <w:rPr>
          <w:rFonts w:ascii="Arial Narrow" w:hAnsi="Arial Narrow" w:cs="TimesNewRomanPSMT"/>
          <w:sz w:val="16"/>
          <w:szCs w:val="16"/>
          <w:lang w:eastAsia="pt-PT"/>
        </w:rPr>
        <w:t>[Despacho n.º 13981/2012, de 26 de outubro]</w:t>
      </w:r>
    </w:p>
    <w:p w:rsidR="001B65F8" w:rsidRPr="003340F9" w:rsidRDefault="001B65F8" w:rsidP="003F61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  <w:lang w:eastAsia="pt-PT"/>
        </w:rPr>
      </w:pPr>
      <w:r w:rsidRPr="003340F9">
        <w:rPr>
          <w:rFonts w:ascii="Arial Narrow" w:hAnsi="Arial Narrow" w:cs="Arial-BoldMT"/>
          <w:b/>
          <w:bCs/>
          <w:sz w:val="24"/>
          <w:szCs w:val="24"/>
          <w:lang w:eastAsia="pt-PT"/>
        </w:rPr>
        <w:t>Avaliação externa do desempenho docente</w:t>
      </w:r>
    </w:p>
    <w:p w:rsidR="001B65F8" w:rsidRPr="003340F9" w:rsidRDefault="001B65F8" w:rsidP="007F60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  <w:lang w:eastAsia="pt-PT"/>
        </w:rPr>
      </w:pPr>
      <w:r w:rsidRPr="003340F9">
        <w:rPr>
          <w:rFonts w:ascii="Arial Narrow" w:hAnsi="Arial Narrow" w:cs="TimesNewRomanPS-BoldMT"/>
          <w:b/>
          <w:bCs/>
          <w:sz w:val="24"/>
          <w:szCs w:val="24"/>
          <w:lang w:eastAsia="pt-PT"/>
        </w:rPr>
        <w:t>Guião de observação da dimensão científica e pedagógica</w:t>
      </w:r>
    </w:p>
    <w:p w:rsidR="001B65F8" w:rsidRPr="003340F9" w:rsidRDefault="001B65F8" w:rsidP="007F60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  <w:lang w:eastAsia="pt-PT"/>
        </w:rPr>
      </w:pPr>
    </w:p>
    <w:p w:rsidR="001B65F8" w:rsidRPr="003340F9" w:rsidRDefault="001B65F8" w:rsidP="007F60D6">
      <w:pPr>
        <w:autoSpaceDE w:val="0"/>
        <w:autoSpaceDN w:val="0"/>
        <w:adjustRightInd w:val="0"/>
        <w:spacing w:after="0" w:line="100" w:lineRule="exact"/>
        <w:jc w:val="center"/>
        <w:rPr>
          <w:rFonts w:ascii="Arial Narrow" w:hAnsi="Arial Narrow" w:cs="TimesNewRomanPS-BoldMT"/>
          <w:b/>
          <w:bCs/>
          <w:sz w:val="24"/>
          <w:szCs w:val="24"/>
          <w:lang w:eastAsia="pt-PT"/>
        </w:rPr>
      </w:pPr>
    </w:p>
    <w:p w:rsidR="001B65F8" w:rsidRPr="003340F9" w:rsidRDefault="001B65F8" w:rsidP="007F60D6">
      <w:pPr>
        <w:autoSpaceDE w:val="0"/>
        <w:autoSpaceDN w:val="0"/>
        <w:adjustRightInd w:val="0"/>
        <w:spacing w:after="0" w:line="100" w:lineRule="exact"/>
        <w:rPr>
          <w:rFonts w:ascii="Arial Narrow" w:hAnsi="Arial Narrow" w:cs="TrebuchetMS"/>
          <w:sz w:val="24"/>
          <w:szCs w:val="24"/>
          <w:lang w:eastAsia="pt-PT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1B65F8" w:rsidRPr="003340F9" w:rsidTr="001B65F8">
        <w:tc>
          <w:tcPr>
            <w:tcW w:w="9782" w:type="dxa"/>
            <w:shd w:val="clear" w:color="auto" w:fill="auto"/>
          </w:tcPr>
          <w:p w:rsidR="001B65F8" w:rsidRPr="003340F9" w:rsidRDefault="001B65F8" w:rsidP="00CF5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rebuchetMS"/>
                <w:lang w:eastAsia="pt-PT"/>
              </w:rPr>
            </w:pPr>
            <w:r w:rsidRPr="003340F9">
              <w:rPr>
                <w:rFonts w:ascii="Arial Narrow" w:hAnsi="Arial Narrow" w:cs="TrebuchetMS"/>
                <w:lang w:eastAsia="pt-PT"/>
              </w:rPr>
              <w:t xml:space="preserve">Tendo em consideração as </w:t>
            </w:r>
            <w:r w:rsidRPr="00540877">
              <w:rPr>
                <w:rFonts w:ascii="Arial Narrow" w:hAnsi="Arial Narrow" w:cs="TrebuchetMS"/>
                <w:b/>
                <w:lang w:eastAsia="pt-PT"/>
              </w:rPr>
              <w:t>circunstâncias concretas de ensino</w:t>
            </w:r>
            <w:r w:rsidRPr="003340F9">
              <w:rPr>
                <w:rFonts w:ascii="Arial Narrow" w:hAnsi="Arial Narrow" w:cs="TrebuchetMS"/>
                <w:lang w:eastAsia="pt-PT"/>
              </w:rPr>
              <w:t xml:space="preserve"> e a </w:t>
            </w:r>
            <w:r w:rsidRPr="00540877">
              <w:rPr>
                <w:rFonts w:ascii="Arial Narrow" w:hAnsi="Arial Narrow" w:cs="TrebuchetMS"/>
                <w:b/>
                <w:lang w:eastAsia="pt-PT"/>
              </w:rPr>
              <w:t>especificação dos parâmetros de avaliação</w:t>
            </w:r>
            <w:r w:rsidRPr="003340F9">
              <w:rPr>
                <w:rFonts w:ascii="Arial Narrow" w:hAnsi="Arial Narrow" w:cs="TrebuchetMS"/>
                <w:lang w:eastAsia="pt-PT"/>
              </w:rPr>
              <w:t xml:space="preserve">, os registos derivados da observação devem incidir nos </w:t>
            </w:r>
            <w:r w:rsidRPr="00540877">
              <w:rPr>
                <w:rFonts w:ascii="Arial Narrow" w:hAnsi="Arial Narrow" w:cs="TrebuchetMS"/>
                <w:b/>
                <w:lang w:eastAsia="pt-PT"/>
              </w:rPr>
              <w:t>comportamentos do docente avaliado</w:t>
            </w:r>
            <w:r w:rsidRPr="003340F9">
              <w:rPr>
                <w:rFonts w:ascii="Arial Narrow" w:hAnsi="Arial Narrow" w:cs="TrebuchetMS"/>
                <w:lang w:eastAsia="pt-PT"/>
              </w:rPr>
              <w:t>.</w:t>
            </w:r>
          </w:p>
        </w:tc>
      </w:tr>
    </w:tbl>
    <w:p w:rsidR="001B65F8" w:rsidRDefault="001B65F8" w:rsidP="003F616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eastAsia="pt-PT"/>
        </w:rPr>
      </w:pPr>
    </w:p>
    <w:p w:rsidR="001B65F8" w:rsidRPr="001D11E6" w:rsidRDefault="001B65F8" w:rsidP="003F6162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  <w:lang w:eastAsia="pt-PT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4678"/>
        <w:gridCol w:w="236"/>
        <w:gridCol w:w="1607"/>
      </w:tblGrid>
      <w:tr w:rsidR="001B65F8" w:rsidRPr="00F4052A" w:rsidTr="00A84DEB">
        <w:trPr>
          <w:trHeight w:val="515"/>
        </w:trPr>
        <w:tc>
          <w:tcPr>
            <w:tcW w:w="993" w:type="dxa"/>
            <w:shd w:val="clear" w:color="auto" w:fill="F2F2F2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proofErr w:type="spellStart"/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Parâ</w:t>
            </w:r>
            <w:proofErr w:type="spellEnd"/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-</w:t>
            </w:r>
          </w:p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metros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1B65F8" w:rsidRPr="00F4052A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"/>
                <w:lang w:eastAsia="pt-PT"/>
              </w:rPr>
            </w:pPr>
            <w:r w:rsidRPr="00F4052A">
              <w:rPr>
                <w:rFonts w:ascii="Arial Narrow" w:hAnsi="Arial Narrow" w:cs="TrebuchetMS,Bold"/>
                <w:b/>
                <w:bCs/>
                <w:lang w:eastAsia="pt-PT"/>
              </w:rPr>
              <w:t>Especificação</w:t>
            </w:r>
          </w:p>
        </w:tc>
        <w:tc>
          <w:tcPr>
            <w:tcW w:w="6521" w:type="dxa"/>
            <w:gridSpan w:val="3"/>
            <w:shd w:val="clear" w:color="auto" w:fill="F2F2F2"/>
            <w:vAlign w:val="center"/>
          </w:tcPr>
          <w:p w:rsidR="001B65F8" w:rsidRDefault="001B65F8" w:rsidP="00F4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rebuchetMS,Bold"/>
                <w:b/>
                <w:bCs/>
                <w:lang w:eastAsia="pt-PT"/>
              </w:rPr>
            </w:pPr>
            <w:r>
              <w:rPr>
                <w:rFonts w:ascii="Arial Narrow" w:hAnsi="Arial Narrow" w:cs="TrebuchetMS,Bold"/>
                <w:b/>
                <w:bCs/>
                <w:lang w:eastAsia="pt-PT"/>
              </w:rPr>
              <w:t xml:space="preserve">Aspetos a considerar </w:t>
            </w:r>
            <w:r w:rsidRPr="002E0A37">
              <w:rPr>
                <w:rFonts w:ascii="Arial Narrow" w:hAnsi="Arial Narrow" w:cs="TrebuchetMS,Bold"/>
                <w:bCs/>
                <w:lang w:eastAsia="pt-PT"/>
              </w:rPr>
              <w:t>(</w:t>
            </w:r>
            <w:r>
              <w:rPr>
                <w:rFonts w:ascii="Arial Narrow" w:hAnsi="Arial Narrow" w:cs="TrebuchetMS"/>
                <w:sz w:val="20"/>
                <w:szCs w:val="20"/>
                <w:lang w:eastAsia="pt-PT"/>
              </w:rPr>
              <w:t xml:space="preserve">não tem </w:t>
            </w:r>
            <w:proofErr w:type="gramStart"/>
            <w:r>
              <w:rPr>
                <w:rFonts w:ascii="Arial Narrow" w:hAnsi="Arial Narrow" w:cs="TrebuchetMS"/>
                <w:sz w:val="20"/>
                <w:szCs w:val="20"/>
                <w:lang w:eastAsia="pt-PT"/>
              </w:rPr>
              <w:t>que</w:t>
            </w:r>
            <w:proofErr w:type="gramEnd"/>
            <w:r>
              <w:rPr>
                <w:rFonts w:ascii="Arial Narrow" w:hAnsi="Arial Narrow" w:cs="TrebuchetMS"/>
                <w:sz w:val="20"/>
                <w:szCs w:val="20"/>
                <w:lang w:eastAsia="pt-PT"/>
              </w:rPr>
              <w:t xml:space="preserve"> se ver tudo numa só aula)</w:t>
            </w:r>
          </w:p>
        </w:tc>
      </w:tr>
      <w:tr w:rsidR="001B65F8" w:rsidRPr="00540877" w:rsidTr="00897B4F">
        <w:trPr>
          <w:cantSplit/>
          <w:trHeight w:val="1036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 Narrow" w:hAnsi="Arial Narrow" w:cs="TrebuchetMS,Bold"/>
                <w:b/>
                <w:bCs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,Bold"/>
                <w:b/>
                <w:bCs/>
                <w:sz w:val="18"/>
                <w:szCs w:val="18"/>
                <w:lang w:eastAsia="pt-PT"/>
              </w:rPr>
              <w:t>Científico</w:t>
            </w:r>
          </w:p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(Domínio)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,Bold"/>
                <w:b/>
                <w:bCs/>
                <w:sz w:val="18"/>
                <w:szCs w:val="18"/>
                <w:lang w:eastAsia="pt-PT"/>
              </w:rPr>
              <w:t xml:space="preserve">Conteúdo(s) 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disciplinar(</w:t>
            </w:r>
            <w:proofErr w:type="spellStart"/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es</w:t>
            </w:r>
            <w:proofErr w:type="spellEnd"/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4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B65F8" w:rsidRPr="00540877" w:rsidRDefault="001B65F8" w:rsidP="002D7CD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2D7CD0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 xml:space="preserve">Ter em conta se o </w:t>
            </w:r>
            <w:r w:rsidRPr="00897824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professor:</w:t>
            </w:r>
          </w:p>
          <w:p w:rsidR="001B65F8" w:rsidRPr="00897B4F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2"/>
                <w:szCs w:val="12"/>
                <w:lang w:eastAsia="pt-PT"/>
              </w:rPr>
            </w:pPr>
          </w:p>
          <w:p w:rsidR="001B65F8" w:rsidRDefault="001B65F8" w:rsidP="001B65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domina 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os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conteúdos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que se pretende que transmita</w:t>
            </w:r>
          </w:p>
          <w:p w:rsidR="001B65F8" w:rsidRPr="00540877" w:rsidRDefault="001B65F8" w:rsidP="0087321E">
            <w:pPr>
              <w:autoSpaceDE w:val="0"/>
              <w:autoSpaceDN w:val="0"/>
              <w:adjustRightInd w:val="0"/>
              <w:spacing w:after="0"/>
              <w:ind w:left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(sem erros científicos) 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  <w:p w:rsidR="001B65F8" w:rsidRPr="00540877" w:rsidRDefault="001B65F8" w:rsidP="00BC18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1607" w:type="dxa"/>
            <w:vMerge w:val="restart"/>
            <w:tcBorders>
              <w:left w:val="nil"/>
            </w:tcBorders>
          </w:tcPr>
          <w:p w:rsidR="001B65F8" w:rsidRPr="00540877" w:rsidRDefault="001B65F8" w:rsidP="00897B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8277D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Concluir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em que medida o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6C41B5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domínio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d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os </w:t>
            </w:r>
            <w:r w:rsidRPr="00BC1826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conteúdos disciplinares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e </w:t>
            </w:r>
            <w:r w:rsidRPr="00BC1826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conhecimentos funcionais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permitiu ao avaliado ser eficaz </w:t>
            </w:r>
            <w:r w:rsidRPr="005131E8">
              <w:rPr>
                <w:rFonts w:ascii="Arial Narrow" w:hAnsi="Arial Narrow" w:cs="TrebuchetMS"/>
                <w:sz w:val="18"/>
                <w:szCs w:val="18"/>
                <w:lang w:eastAsia="pt-PT"/>
              </w:rPr>
              <w:t>n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a concretização da aprendizagem</w:t>
            </w:r>
          </w:p>
        </w:tc>
      </w:tr>
      <w:tr w:rsidR="001B65F8" w:rsidRPr="00540877" w:rsidTr="00897B4F">
        <w:trPr>
          <w:cantSplit/>
          <w:trHeight w:val="979"/>
        </w:trPr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65F8" w:rsidRPr="00540877" w:rsidRDefault="001B65F8" w:rsidP="005B35E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,Bold"/>
                <w:b/>
                <w:bCs/>
                <w:sz w:val="18"/>
                <w:szCs w:val="18"/>
                <w:lang w:eastAsia="pt-PT"/>
              </w:rPr>
              <w:t xml:space="preserve">Conhecimentos </w:t>
            </w:r>
            <w:r w:rsidRPr="00D00738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de língua portuguesa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que 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enquadram e agilizam a aprendizagem do(s) conteúdo(s) disciplinar(</w:t>
            </w:r>
            <w:proofErr w:type="spellStart"/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es</w:t>
            </w:r>
            <w:proofErr w:type="spellEnd"/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)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5F8" w:rsidRPr="0087321E" w:rsidRDefault="001B65F8" w:rsidP="001B65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escreve com correção</w:t>
            </w:r>
          </w:p>
          <w:p w:rsidR="001B65F8" w:rsidRPr="00540877" w:rsidRDefault="001B65F8" w:rsidP="001B65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fala corretamente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(discurso fluente, sem erros)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1607" w:type="dxa"/>
            <w:vMerge/>
            <w:tcBorders>
              <w:left w:val="nil"/>
            </w:tcBorders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</w:tr>
      <w:tr w:rsidR="001B65F8" w:rsidRPr="00540877" w:rsidTr="00897B4F">
        <w:trPr>
          <w:cantSplit/>
          <w:trHeight w:val="4864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 Narrow" w:hAnsi="Arial Narrow" w:cs="TrebuchetMS,Bold"/>
                <w:b/>
                <w:bCs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,Bold"/>
                <w:b/>
                <w:bCs/>
                <w:sz w:val="18"/>
                <w:szCs w:val="18"/>
                <w:lang w:eastAsia="pt-PT"/>
              </w:rPr>
              <w:t>Pedagógico</w:t>
            </w:r>
          </w:p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(Segurança)</w:t>
            </w:r>
          </w:p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Aspetos didáticos que permitam estruturar a aula para tratar os conteúdos previstos nos documentos curriculares e alcançar os objetivos selecionados, verificar a evolução da aprendizagem, orientando as atividades em função dessa verificação e acompanhar a prestação dos alunos e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propor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>cionar-lhes informação sobre a sua evolução</w:t>
            </w:r>
          </w:p>
        </w:tc>
        <w:tc>
          <w:tcPr>
            <w:tcW w:w="46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B65F8" w:rsidRPr="006C41B5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Ter em conta se o professor:</w:t>
            </w:r>
          </w:p>
          <w:p w:rsidR="001B65F8" w:rsidRPr="006C41B5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atua no sentido de captar a atenção dos alunos (formação de expectativas)</w:t>
            </w: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esclarece a intenção/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utilidade do que vai ser ensinado (motivação para aprender)</w:t>
            </w: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relaciona os conteúdos a transmitir com conteúdos anteriormente adquiridos (recuperação da aprendizagem</w:t>
            </w:r>
            <w:proofErr w:type="gramStart"/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/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 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ligação</w:t>
            </w:r>
            <w:proofErr w:type="gramEnd"/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com aulas anteriores/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estimulação da recordação)</w:t>
            </w: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disponibiliza informação (apresent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a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novos conteúdos)</w:t>
            </w:r>
          </w:p>
          <w:p w:rsidR="001B65F8" w:rsidRPr="006E511F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E511F">
              <w:rPr>
                <w:rFonts w:ascii="Arial Narrow" w:hAnsi="Arial Narrow" w:cs="TrebuchetMS"/>
                <w:sz w:val="18"/>
                <w:szCs w:val="18"/>
                <w:lang w:eastAsia="pt-PT"/>
              </w:rPr>
              <w:t>permite o desempenho dos alunos e orienta a sua aprendizagem (recorrendo a trabalhos, à exploração de textos, de esquemas, dando exemplos, etc.)</w:t>
            </w: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avalia o desempenho dos alunos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(verificando a sua evolução) </w:t>
            </w: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proporciona feedback (no momento certo evidencia o que os alunos fazem certo e errado)</w:t>
            </w: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reforça a atenção/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retenção, promovendo a transferência de aprendizagens (fazendo uma síntese da aula e destacando o essencial)</w:t>
            </w:r>
          </w:p>
          <w:p w:rsidR="001B65F8" w:rsidRPr="006C41B5" w:rsidRDefault="001B65F8" w:rsidP="001B65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(…)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65F8" w:rsidRPr="006C41B5" w:rsidRDefault="001B65F8" w:rsidP="00BC18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160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65F8" w:rsidRPr="006C41B5" w:rsidRDefault="001B65F8" w:rsidP="006776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Concluir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em que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medida a </w:t>
            </w:r>
            <w:r w:rsidRPr="006C41B5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segurança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didá</w:t>
            </w:r>
            <w:r w:rsidRPr="00BC1826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 xml:space="preserve">tica e </w:t>
            </w:r>
            <w:r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r</w:t>
            </w:r>
            <w:r w:rsidRPr="00BC1826">
              <w:rPr>
                <w:rFonts w:ascii="Arial Narrow" w:hAnsi="Arial Narrow" w:cs="TrebuchetMS"/>
                <w:b/>
                <w:sz w:val="18"/>
                <w:szCs w:val="18"/>
                <w:lang w:eastAsia="pt-PT"/>
              </w:rPr>
              <w:t>elacional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permitiu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ao avaliado 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ser eficaz na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c</w:t>
            </w: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oncretização da aprendizagem</w:t>
            </w:r>
          </w:p>
        </w:tc>
      </w:tr>
      <w:tr w:rsidR="001B65F8" w:rsidRPr="00540877" w:rsidTr="00897B4F">
        <w:trPr>
          <w:cantSplit/>
          <w:trHeight w:val="2098"/>
        </w:trPr>
        <w:tc>
          <w:tcPr>
            <w:tcW w:w="993" w:type="dxa"/>
            <w:vMerge/>
            <w:shd w:val="clear" w:color="auto" w:fill="auto"/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65F8" w:rsidRPr="00540877" w:rsidRDefault="001B65F8" w:rsidP="002D7CD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Aspetos relacionais que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assegurem</w:t>
            </w: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o funcionamento da aula com base em regras que acautelem a disciplina; envolver os alunos e proporcionar a sua participação nas atividades; estimulá-los a melhorar a aprendizagem</w:t>
            </w:r>
          </w:p>
        </w:tc>
        <w:tc>
          <w:tcPr>
            <w:tcW w:w="467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1B65F8" w:rsidRPr="006C41B5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  <w:p w:rsidR="001B65F8" w:rsidRPr="00897B4F" w:rsidRDefault="001B65F8" w:rsidP="001B65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atende ao cumprimento das regras que </w:t>
            </w:r>
            <w:proofErr w:type="gramStart"/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>acautelam  a</w:t>
            </w:r>
            <w:proofErr w:type="gramEnd"/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disciplina (cuida do modo como os alunos se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>tratam uns aos outros e ao professor)</w:t>
            </w:r>
          </w:p>
          <w:p w:rsidR="001B65F8" w:rsidRPr="00897B4F" w:rsidRDefault="001B65F8" w:rsidP="001B65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>a</w:t>
            </w:r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tua no sentido de envolver todos os alunos </w:t>
            </w:r>
            <w:proofErr w:type="gramStart"/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>nas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atividades</w:t>
            </w:r>
            <w:proofErr w:type="gramEnd"/>
          </w:p>
          <w:p w:rsidR="001B65F8" w:rsidRPr="00897B4F" w:rsidRDefault="001B65F8" w:rsidP="001B65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76" w:hanging="176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>atua no sentido de estimular os alunos (</w:t>
            </w:r>
            <w:proofErr w:type="gramStart"/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na </w:t>
            </w:r>
            <w:r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>melhoria</w:t>
            </w:r>
            <w:proofErr w:type="gramEnd"/>
            <w:r w:rsidRPr="00897B4F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do comportamento, na melhoria da aprendizagem)</w:t>
            </w:r>
          </w:p>
          <w:p w:rsidR="001B65F8" w:rsidRPr="006C41B5" w:rsidRDefault="001B65F8" w:rsidP="001B65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176" w:hanging="142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6C41B5">
              <w:rPr>
                <w:rFonts w:ascii="Arial Narrow" w:hAnsi="Arial Narrow" w:cs="TrebuchetMS"/>
                <w:sz w:val="18"/>
                <w:szCs w:val="18"/>
                <w:lang w:eastAsia="pt-PT"/>
              </w:rPr>
              <w:t>(…)</w:t>
            </w:r>
          </w:p>
          <w:p w:rsidR="001B65F8" w:rsidRPr="006C41B5" w:rsidRDefault="001B65F8" w:rsidP="0054087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1B65F8" w:rsidRDefault="001B65F8" w:rsidP="005408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  <w:p w:rsidR="001B65F8" w:rsidRPr="00540877" w:rsidRDefault="001B65F8" w:rsidP="00BC1826">
            <w:pPr>
              <w:autoSpaceDE w:val="0"/>
              <w:autoSpaceDN w:val="0"/>
              <w:adjustRightInd w:val="0"/>
              <w:spacing w:after="0"/>
              <w:ind w:left="-184" w:firstLine="184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</w:tc>
        <w:tc>
          <w:tcPr>
            <w:tcW w:w="1607" w:type="dxa"/>
            <w:tcBorders>
              <w:top w:val="nil"/>
              <w:left w:val="nil"/>
            </w:tcBorders>
          </w:tcPr>
          <w:p w:rsidR="001B65F8" w:rsidRPr="00540877" w:rsidRDefault="001B65F8" w:rsidP="005408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</w:p>
          <w:p w:rsidR="001B65F8" w:rsidRPr="00540877" w:rsidRDefault="001B65F8" w:rsidP="00FE0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rebuchetMS"/>
                <w:sz w:val="18"/>
                <w:szCs w:val="18"/>
                <w:lang w:eastAsia="pt-PT"/>
              </w:rPr>
            </w:pPr>
            <w:r w:rsidRPr="00540877">
              <w:rPr>
                <w:rFonts w:ascii="Arial Narrow" w:hAnsi="Arial Narrow" w:cs="TrebuchetMS"/>
                <w:sz w:val="18"/>
                <w:szCs w:val="18"/>
                <w:lang w:eastAsia="pt-PT"/>
              </w:rPr>
              <w:t xml:space="preserve"> </w:t>
            </w:r>
          </w:p>
        </w:tc>
      </w:tr>
    </w:tbl>
    <w:p w:rsidR="001B65F8" w:rsidRDefault="001B65F8" w:rsidP="00540877">
      <w:pPr>
        <w:spacing w:after="0"/>
        <w:rPr>
          <w:b/>
          <w:sz w:val="18"/>
          <w:szCs w:val="18"/>
        </w:rPr>
      </w:pPr>
    </w:p>
    <w:p w:rsidR="001B65F8" w:rsidRDefault="001B65F8" w:rsidP="00BC1826">
      <w:pPr>
        <w:rPr>
          <w:sz w:val="18"/>
          <w:szCs w:val="18"/>
        </w:rPr>
      </w:pPr>
    </w:p>
    <w:p w:rsidR="001B65F8" w:rsidRDefault="001B65F8">
      <w:bookmarkStart w:id="0" w:name="_GoBack"/>
      <w:bookmarkEnd w:id="0"/>
    </w:p>
    <w:sectPr w:rsidR="001B65F8" w:rsidSect="00AE00BA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00BA">
      <w:pPr>
        <w:spacing w:after="0" w:line="240" w:lineRule="auto"/>
      </w:pPr>
      <w:r>
        <w:separator/>
      </w:r>
    </w:p>
  </w:endnote>
  <w:endnote w:type="continuationSeparator" w:id="0">
    <w:p w:rsidR="00000000" w:rsidRDefault="00AE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KEBG E+ Trebuchet 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KEBF D+ Trebuchet M S,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00BA">
      <w:pPr>
        <w:spacing w:after="0" w:line="240" w:lineRule="auto"/>
      </w:pPr>
      <w:r>
        <w:separator/>
      </w:r>
    </w:p>
  </w:footnote>
  <w:footnote w:type="continuationSeparator" w:id="0">
    <w:p w:rsidR="00000000" w:rsidRDefault="00AE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3C7" w:rsidRDefault="00AE00BA" w:rsidP="00B343C7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391.5pt;height:57.75pt">
          <v:imagedata r:id="rId1" o:title="CF_M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7F5"/>
    <w:multiLevelType w:val="hybridMultilevel"/>
    <w:tmpl w:val="D4345C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70E1"/>
    <w:multiLevelType w:val="hybridMultilevel"/>
    <w:tmpl w:val="AD623A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2669"/>
    <w:multiLevelType w:val="hybridMultilevel"/>
    <w:tmpl w:val="5D32DE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8"/>
    <w:rsid w:val="001B65F8"/>
    <w:rsid w:val="00A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2205B7"/>
  <w15:chartTrackingRefBased/>
  <w15:docId w15:val="{7DC8E5F7-C7E2-4984-8F5C-9001682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unhideWhenUsed/>
    <w:rsid w:val="001B65F8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CabealhoCarter">
    <w:name w:val="Cabeçalho Caráter"/>
    <w:basedOn w:val="Tipodeletrapredefinidodopargrafo"/>
    <w:uiPriority w:val="99"/>
    <w:semiHidden/>
    <w:rsid w:val="001B65F8"/>
  </w:style>
  <w:style w:type="character" w:customStyle="1" w:styleId="CabealhoCarter1">
    <w:name w:val="Cabeçalho Caráter1"/>
    <w:link w:val="Cabealho"/>
    <w:uiPriority w:val="99"/>
    <w:rsid w:val="001B65F8"/>
    <w:rPr>
      <w:rFonts w:ascii="Calibri" w:eastAsia="Calibri" w:hAnsi="Calibri" w:cs="Times New Roman"/>
      <w:lang w:val="x-none"/>
    </w:rPr>
  </w:style>
  <w:style w:type="character" w:styleId="TextodoMarcadordePosio">
    <w:name w:val="Placeholder Text"/>
    <w:uiPriority w:val="99"/>
    <w:semiHidden/>
    <w:rsid w:val="001B6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Pereira</dc:creator>
  <cp:keywords/>
  <dc:description/>
  <cp:lastModifiedBy>Jorge Pereira</cp:lastModifiedBy>
  <cp:revision>2</cp:revision>
  <dcterms:created xsi:type="dcterms:W3CDTF">2018-03-07T15:33:00Z</dcterms:created>
  <dcterms:modified xsi:type="dcterms:W3CDTF">2018-03-07T16:42:00Z</dcterms:modified>
</cp:coreProperties>
</file>